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THE POST OF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Religious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Recent and relevant experience of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training, teaching practice and/or successful prior teaching experience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Interest and expertise in a particular aspect of teaching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successful                     classroom practice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Strong subject knowledge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maintain good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Stefan McElwee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March 2025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EI1FYZt0hDA8wrD1SPUZ6KVEw==">CgMxLjA4AHIhMXl5ekU0N3Bxc3VGbzFaUEZrOGJ4ZUgxekhKeGM0dU0y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2018-01-25T09:31:00Z</dcterms:created>
  <dc:creator>Carol Wilson</dc:creator>
</cp:coreProperties>
</file>